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Complementares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Definição: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432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As Atividades Complementares de Graduação (ACG) são componentes curriculares que possibilitam o reconhecimento, por avaliação, de habilidades, conhecimentos e competências do aluno, inclusive adquiridos fora do ambiente escolar.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432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Tais atividades objetivam ampliar e consolidar os conhecimentos do discente do Curso Superior de Tecnologia em Gestão Ambiental IFMG-GV e podem ser realizadas a partir da data de ingresso do aluno no curso.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As Atividades Complementares categorizam-se em três grupos: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I. Grupo 1 - Atividades de Ensino;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II. Grupo 2 - Atividades de Extensão;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III. Grupo 3 - Atividades de Pesquisa.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§1º - Os alunos, obrigatoriamente, deverão distribuir a carga horária das Atividades Complementares em, pelo menos, dois grupos de atividades, estando limitado o máximo de 50 horas por grupo.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As Atividades de Ensino compõem-se de: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I. Monitoria em disciplina ou atividade específica do curso;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II. Disciplinas de outros cursos ou optativas no curso, além das previstas na Matriz Curricular, que signifiquem enriquecimento da formação do aluno;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III. Grupos de Estudo devidamente registrados no CNPQ;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IV. Nivelamento;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V. Cursos de idioma ou informática;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VI. Participações em trabalhos de campo e visitas técnicas.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As Atividades de Extensão dividem-se em: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I. Participação em seminários, palestras, congressos, conferências, encontros, simpósios;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II. Cursos de extensão, atualização, capacitação e similares;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III. Participação em ações de extensão patrocinada pela Instituição de Ensino, desde que relacionadas ao curso;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IV. Participações em projetos sociais;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V. Participações em atividades artísticas e culturais;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VI. Participação efetiva em Diretórios e Centros Acadêmicos, Entidades de Classe, Conselhos e Colegiados internos à Instituição;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VII. Participação efetiva em trabalho voluntário, atividades comunitárias, associações de bairros, brigadas de incêndio e associações escolares;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VIII. Participação em atividades beneficentes;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IX. Estágio não obrigatório na área do curso.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As Atividades de Pesquisa incluem: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I. Iniciação científica, desde que dentro dos projetos aprovados pelo programa de iniciação científica da Instituição;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II. Trabalhos publicados em periódicos da área do curso;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III. Trabalhos publicados em Sites regulares na Internet, dentre os recomendados pelo coordenador do curso;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IV. Publicações em anais de eventos técnico-científicos ou em periódicos científicos de abrangência local, regional, nacional ou internacional.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Carga horária obrigatória: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100 (cem)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Aproveitamento: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 aluno deve cumprir, no total, 100 horas de Atividades Complementares, distribuídas em, pelo menos, dois grupos de atividades, estando limitado o máximo de 50 horas por grupo de atividade.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Normativas: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https://www.ifmg.edu.br/governadorvaladares/cursos/superior/tecnologia-em-gestao-ambiental/domumentos-do-curso-tga/regulamento_acg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mg.edu.br/governadorvaladares/cursos/superior/tecnologia-em-gestao-ambiental/domumentos-do-curso-tga/regulamento_a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